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Хагундоков Руслан Мухарбиевич обратился в суд с заявлением о признании недействительным договора купли-продажи от 22.09.2017 № б/н, заключенного должником с Радченко Евгением Георгиевичем; применении последствий недействительности сделки. Определением Арбитражного суда Краснодарского края от 29.07.2019 заявление удовлетворено. Постановлением Пятнадцатого арбитражного апелляционного суда от 05.12.2020, оставленным без изменения постановлением Арбитражного суда Северо-Кавказского округа от 05.02.2021, вышеуказанное определение отменено по безусловным основаниям, заявление рассмотрено по правилам, установленным для рассмотрения дела в суде первой инстанции;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основываясь на оценке представленных в дело доказательств и результатах повторной оценочной экспертизы в соответствии с правилами главы 7 Арбитражного процессуального кодекса Российской Федерации, руководствуясь статьями 10, 167 Гражданского кодекса Российской Федерации, пунктами 1 и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оснований для признания недействительной оспариваемой сделки, совершенной на безвозмездной основе (в отсутствие какой-либо оплаты или иного встречного предоставления) и повлекшей причинение вреда имущественным правам кредиторов в результате уменьшения активов должника, правомерно применив последствия её недействительности.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Апатову Евгению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