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16.07.2020, оставленным без изменения постановлением Третьего арбитражного апелляционного суда от 29.09.2020, требования удовлетворены. Постановлением Арбитражного суда Восточно-Сибирского округа от 22.12.2020 указанные судебные акты оставлены без изменения. 2 Административный орган обратился в Верховный Суд Российской Федерации с кассационной жалобой, в которой просит принятые по делу судебные акта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Таможенного кодекса Евразийского экономического союза и разъяснениями, изложенными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суды пришли к выводу о недоказанности административным органом в действиях общества состава вмененного правонарушения, при установленных обстоятельствах недостоверного декларирования. 3 Доводы жалобы были предметом рассмотрения судов и получили исчерпывающую оценку в обжалуемых судебных актах, не согласиться с которой оснований не имеется.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