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14.07.2020, оставленным без изменения постановлением Девятого арбитражного апелляционного суда от 05.10.2020, в иске отказано. Постановлением Арбитражного суда Московского округа от 26.01.2021 указанные судебные акты оставлены без изменения. 2 В кассационной жалобе, поступившей в Верховный Суд Российской Федерации, общество просит отменить принятые по делу судебные акты, считая их незаконными и необоснованными.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702, 711, 1102 Гражданского кодекса Российской Федерации, суды отказали в иске, признав не доказанным наличие оснований для применения норм о неосновательном обогащении. Доводы жалобы были предметом исследования судов и получили исчерпывающую правовую оценку с учетом установленных обстоятельств, свидетельствующих о наличии вступившего в законную силу судебного акта, которым установлено отсутствие выполнения спорных работ истцом и их сдачи ответчику в рамках государственного контракта, не согласиться с которыми оснований не имеется.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