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банкротстве должника Ревенко Т.В. обратилась в суд с заявлением о включении требований о передаче жилых помещений в реестр требований о передаче жилых помещений должника. Определением Арбитражного суда Московской области от 27.03.2020 в удовлетворении заявления отказано. Не согласившись с названным судебным актом, Ревенко Т.В. обратилась с апелляционной жалобой, одновременно заявив ходатайство о восстановлении пропущенного срока на её подачу. Определением Десятого арбитражного апелляционного суда от 02.11.2020, оставленным без изменения постановлением Арбитражного суда Московского округа от 25.12.2020,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и восстановить срок на подачу апелляционной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117, 184, 257, 264 Арбитражного процессуального кодекса Российской Федерации, исходил из пропуска заявителем процессуального срока на её подачу и отсутствия уважительных причин для его восстановления, обусловленных недоказанностью возникновения объективных препятствий и ограничения возможности совершения лично либо через представителей соответствующего процессуального действия в разумный срок, в том числе ввиду установленных ограничений и мер по противодействию распространения на территории Российской Федерации новой коронавирусной инфекции. Проверяя обоснованность возврата жалобы заявителя, окружной суд не установил нарушений норм процессуального права и согласился с выводами апелляционного суда. В отсутствие доказательств, свидетельствующих о том, что заявитель была лишена возможности лично либо через представителей реализовать право на подачу жалобы путём направления её почтовым отправлением либо через сервис электронной подачи документов «Мой арбитр», оснований для иных выводов не имеется. Выводы судов апелляционной инстанции и округа соответствуют нормам права.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Ревенко Татьяне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