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26.06.2020, оставленным без изменения постановлением Одиннадцатого арбитражного апелляционного суда от 02.09.2020, иск удовлетворен, с колонии в пользу общества взыскана задолженность в размере 1 959 308,09 рублей, а также расходы по уплате государственной пошлины; субсидиарная ответственность 2 при недостаточности лимитов бюджетных обязательств возложена судом на ФСИН России. Постановлением Арбитражного суда Поволжского округа от 22.12.2020 указанные судебные акты оставлены без изменения. ФСИН России не согласна с вынесенными судебными актами в части возложения на нее субсидиарной ответственности.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309, 310, 539, 541 Гражданского кодекса Российской Федерации, Бюджетного кодекса Российской Федерации, суды удовлетворили иск, признав отсутствие доказательств оплаты поставленного колонии ресурса. Доводы кассационной жалобы противоречат разъяснениям, изложенным в пункте 20 постановления Пленума Верховного Суда Российской Федерации от 28.05.2019 № 13 «О некоторых вопросах применения судами норм Бюджетного кодекса Российской Федерации, связанных с исполнением судебных актов по обращению взыскания на средства бюджетов бюджетной системы Российской Федерации».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