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и Горчинская Людмила Викторовна обратились в суд с заявлениями, объединёнными в одно производство для совместного рассмотрения, о разрешении разногласий и исключении из конкурсной массы должника четырехкомнатной квартиры (кадастровый номер 77:07:0003003:2157), расположенной по адресу: г. Москва, ул. М. Тимошенко, д. 17, к. 2, кв. 197 (далее – квартира). Определением Арбитражного суда города Москвы от 09.08.2019 квартира признана единственным пригодным для проживания должника жильём. Постановлением Девятого арбитражного апелляционного суда от 09.10.2019 вышеуказанное определение отменено, производство по обособленному спору прекращено. Постановлением Арбитражного суда Московского округа от 16.12.2019 названные судебные акты отменены, обособленный спор направлен на новое рассмотрение в Арбитражный суд города Москвы. При новом рассмотрении определением Арбитражного суда города Москвы от 26.06.2020 квартира исключена из конкурсной массы. Постановлением Девятого арбитражного апелляционного суда от 06.10.2020 определение суда первой инстанции от 26.06.2020 отменено, в удовлетворении заявлений отказано. 2 Постановлением Арбитражного суда Московского округа от 22.12.2020 отменено постановление апелляционного суда от 06.10.2020, определение суда первой инстанции от 26.06.2020 оставлено в силе. В кассационной жалобе, поданной в Верховный Суд Российской Федерации, заявитель просит отменить принятые на новом рассмотрении спора определение суда первой инстанции и постановление суда округа, оставить в силе постановление апелляционного суда.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Исключая квартиру из конкурсной массы, суд первой инстанции, руководствуясь статьёй 446 Гражданского процессуального кодекса Российской Федерации, статьёй 213.25 Федерального закона от 26.10.2002 № 127-ФЗ «О несостоятельности (банкротстве), правовой позицией, изложенной в постановлении Конституционного Суда Российской Федерации от 14.05.2012 № 11-П, пунктом 39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исходил из того, что она принадлежит на праве собственности супруге должника, является для последнего и членов его семьи единственным пригодным для проживания жильём и не подлежит реализации на торгах. Суд округа согласился с подобными выводами, отменив постановление апелляционного суда и оставив в силе определение суда первой инстанции. Выводы судов первой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первой инстанции и округа не допущено. Доводы, изложенные в настоящей жалобе, являлись предметом изучения судов первой инстанции и округа,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3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имуществом Горчинского Владимира Эдуардовича Барановой Ольге Анатольевне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