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«Зернотрейд» (далее – общество) обратилось в суд с заявлением о процессуальной замене кредитора – банка его правопреемником – обществом на общую сумму 26 931 977 рублей 39 копеек. Определением Арбитражного суда Челябинской области от 27.07.2020, оставленным без изменения постановлениями Восемнадцатого арбитражного апелляционного суда от 19.10.2020 и Арбитражного суда Уральского округа от 27.01.2021,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Челябинской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48 Арбитражного процессуального кодекса Российской Федерации, статьями 313, 363, 364, 384 Гражданского кодекса Российской Федерации, пунктом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 установили, что частичное погашение аффилированным должнику обществом требований заявителя произведено в деле о банкротстве другого поручителя и после признания должника банкротом, что не позволяло рассматривать его как способ компенсационного финансирования в ситуации имущественного кризиса, в связи с чем осуществил процессуальную замену банка с сохранением у него статуса залогодержателя правопреемником на сумму погашенного требования.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конверсии «Снежинский»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