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Попова О.В. обратилась в суд с заявлением о замене кредитора – публичного акционерного общества «Банк «Санкт-Петербург» (далее – банк) на себя как правопреемника. Определением Арбитражного суда города Санкт-Петербурга и Ленинградской области от 06.09.2020, оставленным без изменения постановлениями Тринадцатого арбитражного апелляционного суда от 26.10.2020 и Арбитражного суда Северо-Западного округа от 02.02.2021,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382, 387 Гражданского кодекса Российской Федерации, статьями 125, 129.1 Федерального закона от 26.10.2002 № 127-ФЗ «О несостоятельности (банкротстве)», исходили из того, что изменение режима общей собственности с совместной на долевую не влечёт за собой трансформацию залога имущества в залог долей в праве общей долевой собственности, а перечисление заявителем денежных средств банку состоялось в отсутствие заключенного с последним договора цессии и в нарушение установленного законом порядка погашения требований третьим лицом за должника в конкурсном производстве, в связи с чем не установили оснований для удовлетворения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Поповой Ольге Викторовне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