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10.06.2020, оставленным без изменения постановлениями Девятого арбитражного апелляционного суда от 11.09.2020 и Арбитражного суда Московского округа от 30.12.2020, в удовлетворении иска отказано. В кассационной жалобе, поданной в Верховный Суд Российской Федерации, предприятие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предприятием (заказчик) и обществом (подрядчик, исполнитель) заключены договора от 15.03.2016 № 013-А-4-29-3/ДУ2016 на осуществление авторского надзора за воссозданием исторического облика интерьеров, от 12.08.2015 № 027-А-4-29-3/ДУ2015 на разработку проектной документации по воссозданию исторического облика интерьеров, от 09.11.2012 № 038-А-4-29-3/ДРПД2012 на разработку проектной документации по реконструкции служебно-жилого здания с гаражом военного атташата Российской Федерации во Французской Республике, от 06.10.2014 № Л032-А-4-29-3/ДУ2014 на разработку проектной документации по реконструкции жилых зданий (строение В и С) военного атташата Российской Федерации во Французской Республике. По результатам внеплановой выездной проверки по вопросу соблюдения условий предоставления и использования средств из федерального бюджета Федеральным казначейством выявлены нарушения предприятием бюджетного законодательства и вынесено предписание от 20.02.2018 № 18-00-04/2789 о необходимости принять меры путем взыскания причиненного выявленными нарушениями ущерба Российской Федерации с подрядчиков. Предприятие, ссылаясь на результаты проверки, указывая, что им приняты работы завышенного объема и произведена оплата невыполненного объема, обратилось в арбитражный суд. Оценив представленные в материалы дела доказательства, суды, руководствуясь положениями статей 309, 310, 702, 709, 710, 711, 748, 1102 Гражданского кодекса Российской Федерации, пришли к выводу об отсутствии оснований для удовлетворения искового требования. При этом судебные инстанции исходили из того, что работы обществом выполнены, приняты предприятием без замечаний и оплачены; внеплановая выездная проверка проведена без участия общества; предприятием не заявлено претензий о несоответствии объема и стоимости выполняемых работ по договорам; предприятием не представлено каких-либо доказательств, свидетельствующих об отсутствии у него возможности по своевременному выявлению завышения стоимости работ и неоказания услуг в полном объеме. 3 Обстоятельства данного спора и представленные доказательства были предметом оценки судов.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 и положений гражданского законодательства. Приведенные в жалобе доводы не свидетельствуют о существенных нарушениях судами норм материального и процессуального права, повлиявших на исход дела, выражают несогласие с выводами судов по фактическим обстоятельствам спора, по существу, направлены на их переоценку в связи с чем,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«Предприятие по управлению собственностью за рубежом» Управления делами Президента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