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20.07.2020, оставленным без изменения постановлениями Девятого арбитражного апелляционного суда от 12.10.2020 и Арбитражного суда Московского округа от 15.01.2021, завершена процедура реализации имущества гражданина, должник освобождён от дальнейшего исполнения требований кредиторов, в том числе требований кредиторов, не заявленных при введении процедур реструктуризации долгов и реализации имущества. В кассационной жалобе, поданной в Верховный Суд Российской Федерации, заявитель просит отменить названные судебные акты в части освобождения должника от дальнейшего исполнения требований кредиторов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пунктами 4, 5 статьи 213.28 Федерального закона от 26.10.2002 № 127-ФЗ «О несостоятельности (банкротстве)», исходили из того, что в преддверии собственного банкротства должник вёл себя добросовестно, своё имущественное положение от кредиторов не скрывал, действий по наращиванию кредиторской задолженности не совершал, в связи с чем основания для отказа в освобождении должника от дальнейшего исполнения требований кредиторов, в том числе требований кредиторов, не заявленных при проведении процедур банкротства должника отсутствовали.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Орлова Михаила Константиновича Лукину Анатолию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