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Стерин К.В. обратился в суд с заявлением о включении в реестр требований кредиторов должника его требования в размере 43 930 660 рублей 66 копеек. Определением Арбитражного суда города Санкт-Петербурга и Ленинградской области от 06.08.2020, оставленным без изменения постановлениями Тринадцатого арбитражного апелляционного суда от 19.10.2020 и Арбитражного суда Северо-Западного округа от 28.01.2021,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365, 367 Гражданского кодекса Российской Федерации, статьями 19, 71, 100 Федерального закона от 26.10.2002 № 127-ФЗ «О несостоятельности (банкротстве)», установив заинтересованность заявителя, должника и входящих с ними в одну группу компаний, злоупотребление ими своим правом, проанализировав и оценив обстоятельства заключения договоров поручительства, предоставления залога и последующей цессии в условиях имущественного кризиса должника, пришли к выводам об отсутствии оснований для удовлетворении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Стерину Кириллу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