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Налогового кодекса Российской Федерации.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Так, к документам, устанавливающим имущественное положение,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Заявителем представлены доказательства, свидетельствующие о невозможности исполнения обязанности по уплате государственной пошлины за рассмотрение кассационной жалобы, в связи с чем, ходатайство об отсрочке уплаты государственной пошлины подлежит удовлетворению. Учитывая изложенное и руководствуясь статьями 102 , 184 , 291.3 Арбитражного процессуального кодекса Российской Федерации, статьями 333.21 , 333.22 , 333.41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сельскохозяйственного производственного кооператива «Рассвет» об отсрочке уплаты государственной пошлины удовлетворить. Предоставить отсрочку уплаты государственной пошлины сроком до окончания производства по настоящей кассационной жалобе. Судья Верховного Суда Российской Федерации А.Г. Першутов Суд: Верховный Суд РФ (подробнее) Истцы: Сельскохозяйственный "Рассвет" (подробнее) Ответчики: МИ ФНС №6 по Ставропольскому краю (подробнее) МИФНС России №6 по СК (подробнее) Иные лица: Межрайонная ИФНС №6 по Ставропольскому краю (подробнее) Уполномоченный по защите прав предпринимателей в Ставропольском крае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