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12.08.2020, оставленным без изменения постановлениями Девятнадцатого арбитражного апелляционного 2 суда от 24.11.2020 и Арбитражного суда Центрального округа от 09.02.2021, в удовлетворении заявленных требований отказано. В кассационной жалобе предприниматель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заявленных требований предприниматель ссылается на то, что прокуратурой допущено бездействие, выразившееся в непринятии мер прокурорского реагирования по его заявлениям к руководителю учреждения, допустившего незаконные отказы в выдаче транспортных ветеринарных электронных сопроводительных документов на пищевую продукцию непромышленного изготовления животного происхождения. Исследовав и оценив представленные в материалы дела доказательства, руководствуясь положениями статьи 198 Арбитражного процессуального кодекса Российской Федерации, Федерального закона от 17.01.1992 № 2202-1 «О прокуратуре Российской Федерации», Закона Российской Федерации от 14.05.1993 № 4979-1 «О ветеринарии», Ветеринарными правилами организации работы по оформлению ветеринарных сопроводительных документов и Порядком оформления ветеринарных сопроводительных документов в электронной форме, утвержденными приказом Минсельхоза России от 27.12.2016 № 589, суды пришли к выводу об отсутствии оснований для удовлетворения требований предпринимателя. Судебные инстанции исходили из пропуска предпринимателем срока на оспаривание действий прокуратуры, выразившихся в непринятии мер по заявлению от 29.07.2019, а так же отсутствия в действиях прокуратуры нарушений норм действующего законодательства. При исследовании обстоятельств дела установлено, что обращения предпринимателя рассмотрены прокуратурой, заявителю даны соответствующие ответы с соблюдением порядка и сроков рассмотрения обращений; заявителем не соблюден порядок оформления ветеринарно-сопроводительных документов, не подтверждены происхождение и соответствие продукции ветеринарным и санитарным требованиям. 3 Доводы кассационной жалобы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Дибцеву Михаилу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