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25.03.2020, оставленным без изменения постановлением Третьего арбитражного апелляционного суда от 17.08.2020 и постановлением Арбитражного суда Восточно-Сибирского округа от 15.12.2020,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удовлетворения требования ответчика (бенефициар) по оплате неустойки за нарушение истцом (генподрядчик) сроков завершения выполнения этапов работ по договору от 22.10.2014 № 765-1/30 за счет платежа по банковской гарантии (102 126 540 руб.), учитывая, что вступившим в законную силу решением Арбитражного суда Красноярского края от 08.08.2019 по делу № А33-12837/2019 размер указанной неустойки уменьшен по правилам статьи 333 Гражданского кодекса Российской Федерации до 15 000 000 руб.; ответчик добровольно перечислил истцу 61 912 060 руб., суды первой и апелляционной инстанций пришли к выводу о наличии на стороне общества неосновательного обогащения в заявленном размере. При таких обстоятельствах, проверив и признав верным представленный истцом расчет процентов за пользование чужими денежными средствами, руководствуясь статьями 330, 331, 368, 369, 395, 702, 1102, 1107 Гражданского кодекса Российской Федерации, суды удовлетворили исковые требования,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«Информационные спутниковые системы»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