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«Ренус Интермодал Системс» обратилось в Арбитражный суд города Москвы с иском о взыскании солидарно с публичного акционерного общества «Совфрахт» (в настоящее время – акционерное общество «Совфрахт») и общества с ограниченной ответственностью «Совшип ДВ» 14 147 577 рублей 53 копеек убытков. К участию в деле в качестве третьих лиц, не заявляющих самостоятельных требований относительно предмета спора, привлечены страховое публичное акционерное общество «Ингосстрах», общество с ограниченной ответственностью «СМТ Агент», акционерное общество «Находкинский Морской рыбный порт», общество с ограниченной ответственностью «Совфрахт-Восток», акционерное общество «ИмпульсДиалог». Решением Арбитражного суда города Москвы от 27.12.2019 иск удовлетворен. 2 Постановлением Девятого арбитражного апелляционного суда от 01.09.2020 решение суда первой инстанции оставлено без изменения. Арбитражный суд Московского округа постановлением от 18.12.2020 указанные судебные акты оставил без изменения. Акционерное общество «Совфрахт» и страховое публичное акционерное общество «Ингосстрах» обратились в Судебную коллегию Верховного Суда Российской Федерации с кассационными жалобами на принятые по делу судебные акты, ссылаясь на нарушение судами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причиной пожара и, как следствие, повреждения груза явилось невыполнение перевозчиком – ООО «Совшип ДВ» правил пожарной безопасности, отсутствие должной заботы по приведению судна в мореходное состояние, отсутствие должного контроля за осуществлением грузовых операций, а также установив, что АО «Совфрахт» является собственником судна (судовладельцем), несущим бремя содержания, принадлежащего ему имущества (судна), и его деятельность по эксплуатации морского судна является деятельностью, связанной с повышенной опасностью для окружающих, руководствуясь положениями статей 15, 210, 393, 1079 Гражданского кодекса Российской Федерации, суды пришли к выводу о доказанности наличия совокупности условий, необходимых для возложения на ответчиков ответственности в виде возмещения понесенных истцом убытков. Доводы жалоб об отсутствии вины владельца судна, о размере убытков приводились при рассмотрении дела, были рассмотрены судами и им дана надлежащая оценка. Эти доводы, с учетом установленных судами фактических обстоятельств, выводы судов не опровергают, не подтверждают существенных 3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291.8, 319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«Совфрахт» и страховому публичному акционерному обществу «Ингосстрах»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