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подпунктом 12 пункта 1 статьи 333.21 Налогового кодекса Российской Федерации при подаче кассационной жалобы государственная пошлина подлежит уплате в размере 50 процентов размера государственной пошлины, подлежащей уплате при подаче искового заявления неимущественного характера, т.е. в размере 3 000 рублей. Согласно пункту 2 статьи 333.22 Налогового кодекса Российской Федерации, Верховный Суд Российской Федерации, исходя из имущественного положения плательщика, вправе освободить его от уплаты государственной пошлины либо уменьшить ее размер, а также отсрочить (рассрочить) ее уплату в порядке, предусмотренном статьей 333.41 Налогового кодекса Российской Федерации. Статьей 333.41 Налогового кодекса Российской Федерации предусмотрено, что отсрочка или рассрочка уплаты государственной пошлины предоставляется по ходатайству заинтересованного лица в пределах срока, 2 установленного пунктом 1 статьи 64 Налогового кодекса Российской Федерации. Учитывая представление доказательств, свидетельствующих о том, что имущественное положение заявителя не позволяет ему уплатить при обращении с кассационной жалобой государственную пошлину в установленном размере (3000 рублей), ходатайство о предоставлении отсрочки уплаты государственной пошлины подлежит удовлетворению. Учитывая изложенное и руководствуясь статьями 102, 184, 291.3 Арбитражного процессуального кодекса Российской Федерации, статьями 333.21, 333.22, 333.41 Налогового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«Строительно- монтажное управление – 4 Метростроя» удовлетворить. Предоставить обществу с ограниченной ответственностью «СМУ-4 Метростроя» отсрочку по уплате государственной пошлины в сумме 3 000 рублей до окончания производства по рассмотрению кассационной жалобы на решение Арбитражного суда города Москвы от 11.08.2020 по делу № А40-130014/2019, постановление Девятого арбитражного апелляционного суда от 29.12.2020 и постановление Арбитражного суда Московского округа от 15.03.2021 по тому же делу.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