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Амизян Владлен Артурович обратился в Арбитражный суд Краснодарского края с иском о взыскании с индивидуального предпринимателя Гезаляна Артура Сергеевича 5 049 182 рублей 41 копейки стоимости утраченного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«Фирма «Арсений», Алиханов Гасангусин Ашуралиевич. Решением Арбитражного суда Краснодарского края от 02.07.2020 иск удовлетворен. Постановлением Пятнадцатого арбитражного апелляционного суда от 11.09.2020 решение суда первой инстанции оставлено без изменения. Арбитражный суд Северо-Кавказского округа постановлением от 16.12.2020 указанные судебные акты оставил без изменения. 2 Индивидуальный предприниматель Гезалян Артур Сергеевич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принятия груза водителем перевозчика, признав доказанным факт утраты груза, учитывая непредставление ответчиком доказательств сохранности груза при его перевозке, а также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393, 401, 784, 785, 793, 796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 суды пришли к выводу о наличии оснований для возложения на ответчика ответственности за несохранность груза. Доводы жалобы об отсутствии вины перевозчика, отсутствии надлежащих доказательств принятия груза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Гезаляну Артуру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