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НПО «Хорда» обратилось в Арбитражный суд Белгородской области с иском о взыскании с индивидуального предпринимателя Воробьевой Натальи Ивановны 1 956 636 рублей 58 копеек неосновательного обогащения, 57 749 рублей 96 копеек процентов за пользование чужими денежными средствами.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«Энергомеханика». Решением Арбитражного суда Белгородской области от 01.06.2020 в удовлетворении иска отказано. Постановлением Девятнадцатого арбитражного апелляционного суда от 01.09.2020 решение суда первой инстанции оставлено без изменения. Арбитражный суд Центрального округа постановлением от 17.12.2020 указанные судебные акты оставил без изменения. 2 Общество с ограниченной ответственностью НПО «Хорда»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перечисленные истцом денежные средства по спорным платежным поручениям приняты ответчиком в счет погашения задолженности третьего лица перед ответчиком, руководствуясь положениями статьей 313, 1102 Гражданского кодекса Российской Федерации, суды пришли к выводу о недоказанности факта возникновения на стороне ответчика неосновательного обогащения. Доводы, изложенные в кассационной жалобе, об ошибочности перечисления денежных средств и непринятии их ответчиком в счет погашения задолженности третьего лица приводились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в том числе при рассмотрении ходатайства истца о проведении онлайн- 3 заседания, которые могли бы явиться безусловным основанием для изменения или отмены судебных актов, не установлено. На момент обращения заявителя с ходатайством о проведении судебного заседания в режиме веб-конференции постановление Президиума Верховного Суда Российской Федерации и Президиума Совета судей Российской Федерации от 08.04.2020 № 821 (в редакции от 29.04.2020) «О приостановлении личного приема граждан в судах», предусматривающее возможность использования системы веб-конференции, утратило силу в связи с истечением срока действия, у заявителя не было препятствий для посещения здания Арбитражного суда Белгородской области и участия в судебном заседании, ходатайства об отложении судебного заседания заявлено не было.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«НПО «Хорда»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