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Маркосян С.Г. обратился в суд с заявлением об исправлении описок (опечаток) в резолютивных частях определений Арбитражного суда Краснодарского края от 20.04.2017 о взыскании судебных расходов. Определением Арбитражного суда Краснодарского края от 26.08.2020, оставленным без изменения постановлениями Пятнадцатого арбитражного апелляционного суда от 18.10.2020 и Арбитражного суда Северо-Кавказского округа от 28.12.2020,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суд первой инстанции руководствовался статьями 159, 179 Арбитражного процессуального кодекса Российской Федерации, действовал в соответствии с процессуальным законом, в рамках предоставленных ему полномочий и не нарушил ни принципа правовой определенности, ни законные интересы лиц, участвующих в деле, поскольку исправление указанной заявителем опечатки направлено на изменение содержания судебных актов, что действующим процессуальным законодательством не допускается. Проверяя обоснованность отказа в удовлетворении заявления, суды апелляционной инстанции и округа не установили нарушений норм процессуального права и согласились с выводами суда первой инстанции. Выводы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Маркосяну Сергею Гарниковичу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