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Губерский Вадим Николаевич обратился в суд с заявлением о завершении процедуры реализации имущества гражданина и освобождении должника от исполнения обязательств. Определением Арбитражного суда города Москвы от 13.08.2020, оставленным без изменения постановлениями Девятого арбитражного апелляционного суда от 28.10.2020 и Арбитражного суда Московского округа от 25.01.2021,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вопрос о завершении банкротства должника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гражданина и освобождая его от исполнения обязательств перед кредиторами, суд первой инстанции руководствовался статьями 213.5, 213.9, 213.25, 213.28 Федерального закона от 26.10.2002 № 127-ФЗ «О несостоятельности (банкротстве)» и исходил из обстоятельств выполнения финансовым управляющим всех мероприятий в рамках дела о банкротстве, отсутствия у должника, не злоупотребившего правом, иного имущества и возможности восстановления его платёжеспособности, а также нецелесообразности дальнейшего проведения названной процедуры банкротства. С указанными выводами впоследствии согласились суды апелляционной инстанции и округа, рассмотрев и мотивированно отклонив доводы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