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Нижегородской области от 11.03.2020, оставленным без изменения постановлениями Первого арбитражного апелляционного суда от 23.09.2020 и Арбитражного суда Волго-Вятского округа от 24.12.2020, завершена процедура реализации имущества гражданина без применения правил об освобождении должника от исполнения обязательств перед кредитором – обществом с ограниченной ответственностью КБ «АйМаниБанк» (далее – банк). В кассационной жалобе, поданной в Верховный Суд Российской Федерации, заявитель просит отменить указанные судебные акты в части неосвобождения от исполнения обязательств перед банком.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2 Разрешая спор в обжалуемой части, суды, руководствуясь положениями статей 213.9, 213.28 Федерального закона от 26.10.2002 № 127-ФЗ «О несостоятельности (банкротстве)», пунктами 42 – 46 постановления Пленума Высшего Арбитражного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исходили из обстоятельств недобросовестного поведения должника, реализовавшего находящееся в залоге у банка имущество (транспортное средство) в отсутствии его согласия.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Каленову Сергею Сергеевичу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