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Харитонов Михаил Владимирович обратился в суд с заявлением о привлечении к субсидиарной ответственности Ремизова В.В. и взыскании с последнего 327 969 123 рублей 88 копеек в конкурсную массу должника. Определением Арбитражного суда города Москвы от 10.06.2020, оставленным без изменения постановлениями Постановлением Девятого арбитражного апелляционного суда от 01.09.2020 и Арбитражного суда Московского округа от 28.01.2021, Ремизов В.В. привлечён к субсидиарной ответственности по обязательствам должника, приостановлено производство по заявлению в части определения размера ответственности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61.11 и 61.16 Федерального закона от 26.10.2002 № 127-ФЗ «О несостоятельности (банкротстве)», исходили из наличия совокупности условий, необходимых для привлечения Ремизова В.В., являвшегося контролирующим должника лицом, к субсидиарной ответственности ввиду наличия причинно-следственной связи между конкретными противоправными действиями Ремизова В.В. и негативными последствиями для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Ремизову Вадиму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