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купли-продажи земельных участков с объектом незавершенного строительства, заключенных 12.10.2017 между должником и гражданином Индии Радживом Кумаром (далее – покупатель); применении последствий недействительности сделки. Определением Арбитражного суда города Москвы от 03.03.2020 заявление удовлетворено. Постановлением Девятого арбитражного апелляционного суда от 06.10.2020, оставленным без изменения постановлением Арбитражного суда Московского округа от 22.12.2020, вышеуказанное определение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313 Гражданского кодекса Российской Федерации, пунктами 1 и 2 статьи 61.2 Федерального закона от 26.10.2002 № 127-ФЗ «О несостоятельности (банкротстве)», пунктами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не установил оснований для признания недействительной оспариваемой сделки, совершённой на рыночных условиях с незаинтересованным покупателем и не повлекшей причинение вреда имущественным правам кредиторов. Суд округа поддержал выводы суда апелляционной инстанции, указав на отсутствие со стороны конкурсного управляющего доводов о возникших у него сомнениях относительно подлинности доказательств оплаты сделки, в том числе, заявлений о фальсификации доказательств либо отложении судебного заседания.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«ФАЭТОН ГРУПП» Артыкову Замиру Сабиржановичу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