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заявлениями, объединёнными в одно производство для совместного рассмотрения, о признании недействительными сделками начислений и выплат работникам должника заработной платы в период с 01.02.2017 по 30.04.2018; применении последствий недействительности сделок. Определением Арбитражного суда Ульяновской области от 01.10.2020, оставленным без изменения постановлениями Одиннадцатого арбитражного апелляционного суда от 24.11.2020 и Арбитражного суда Поволжского округа от 03.02.2021, заявления оставлены без удовлетворения.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 и 2 статьи 61.2 Федерального закона от 26.10.2002 № 127-ФЗ «О несостоятельности (банкротстве)», исходили из отсутствия бесспорных доказательств того, что получающие в минимальном размере заработную плату работники должника (осуществлявшего в оспариваемый период хозяйственную деятельность) не исполняли своих трудовых обязанностей, в связи с чем пришли к выводам о недоказанности конкурсным управляющим совокупности условий для признания недействительными оспариваемых сделок.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«Берег» Березову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