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Коновалова А.Н. обратилась в суд с заявлением к Юрченко М.И., Россейчук Илье Валерьевичу, Россейчук Евгению Валерьевичу, Давыдову Михаилу Сергеевичу, Гаджиевой Раузие Забитовне, Волотке Александру Петровичу, Акшатиной Кристине Александровне, Адоньеву Дмитрию Александровичу, Агаповой Марине Викторовне, Чурбакову Николаю Викторовичу, Хачатуровой Нателле Давидовне. Танатаровой Юлии Валерьевне, Строниной Ларисе Аркадьевне, Сахно Р.В., Сахно Е.Р., Панкстьянову Виталию Николаевичу, Никодимовой Светлане Ивановне, Лихачевой Марине Сергеевне, Зайцевой Н.С., Волину Дмитрию Михайловичу, Щегловой Людмиле Федоровне о признании недействительными сделок, заключённых должником. Впоследствии в рамках рассмотрения вышеуказанного обособленного спора Зайцева Н.С., Сахно Е.Р., Сахно Р.В., Юрченко М.И. и Адоньевым Д.А. заявили ходатайства о передаче дела по подсудности на рассмотрение других судов общей юрисдикции – по месту жительства каждого из указанных ответчиков. Определением Арбитражного суда Карачаево-Черкесской Республики от 27.11.2020, оставленным без изменения постановлением Шестнадцатого 2 арбитражного апелляционного суда от 13.01.2021, отказано в удовлетворении ходатайств. В кассационных жалобах, поданных в Верховный Суд Российской Федерации, заявители просят отменить указанные судебные акты, ходатайства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Отказывая в удовлетворении ходатайств, суды, руководствуясь положениями статей 32 и 223 Арбитражного процессуального кодекса Российской Федерации, статьи 61.8 Федерального закона от 26.10.2002 № 127- ФЗ «О несостоятельности (банкротстве)», позицией, изложенной в пунктах 1 и 17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признав, что спор по вышеуказанному заявлению конкурсного управляющего об оспаривании сделок подлежит рассмотрению непосредственно в настоящем деле о банкротстве должника, пришёл к выводу об отсутствии оснований для передачи дела на рассмотрение в суды общей юрисдикции.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Зайцевой Наталье Степановне, Сахно Елизавете Ринатовне, Сахно Руслану Валерьевичу и Юрченко Михаилу Ивановичу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