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агентство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агентством в пределах установленного срока, причины пропуска срока признаны судом уважительными, данное ходатайство подлежит удовлетворению. Принимая во внимание изложенное и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Агентства по управлению государственным имуществом Красноярского края о восстановлении пропущенного процессуального срока на подачу кассационной жалобы на решение Арбитражного суда Красноярского края от 19.05.2020, постановление Третьего арбитражного апелляционного суда от 27.08.2020 и постановление Арбитражного суда Восточно-Сибирского округа от 02.11.2020 по делу № А33-9413/2020.Судья Верховного Суда Российской Федерации Н.С. Чучунова Суд: Верховный Суд РФ (подробнее) Истцы: ООО Управляющая компания "Советская" (подробнее) Ответчики: Агентство по управлению государственным имуществом Красноярского края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