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Инспекция Федеральной налоговой службы по городу Солнечногорску Московской области (далее – уполномоченный орган) обратилась в суд с заявлением о включении в реестр требований кредиторов должника (далее – реестр) её требований в размере 229 504 091 рублей 43 копеек недоимки, 107 158 059 рублей 40 копеек пени и 22 811 348 рублей штрафа. Определением Арбитражного суда Московской области от 19.11.2019 заявление удовлетворено в части включения в третью очередь реестра требований уполномоченного органа в размере 32 535 172 рублей 81 копейки, в остальной части в удовлетворении заявления отказано. Постановлением Десятого арбитражного апелляционного суда от 23.09.2020, оставленным без изменения постановлением Арбитражного суда Московского округа от 22.12.2020, вышеуказанное определение изменено. Требование уполномоченного органа в размере 229 504 091 рублей 43 копеек недоимки, 107 158 059 рублей 40 копеек пени и 22 811 348 рублей штрафа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требование уполномоченного органа, суд первой инстанции руководствовался статьёй 69 Налогового кодекса Российской Федерации, статьями 71, 100, 142 Федерального закона от 26.10.2002 № 127-ФЗ «О несостоятельности (банкротстве)» и исходил из подписанного между ним и должником без разногласий акта совместной сверки расчётов по налогам, сборам, страховым взносам, пеням, штрафам и процентам как доказательства, необходимого для установления наличия и размера задолженности перед бюджетом, подлежащей включению в реестр. Изменяя принятое по спору определение, апелляционный суд основывался на том, что в подписанном сторонами акте совместной сверки расчётов заявленная уполномоченным органом к взысканию и документально подтверждённая задолженность не числилась (была приостановлена ко взысканию в связи с судебными разбирательствами). Размер итоговой задолженности подтвержден вступившим в законную силу решением Арбитражного суда города Москвы от 27.12.2018 по делу №А40-55147/2017, доказательства её погашения должником не представлены. Суд округа поддержал выводы апелляционного суда.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Калининскому Борису Германовичу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