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обратился в суд с жалобой на действия (бездействие) финансового управляющего имуществом должника Оксамитного Александра Александровича, содержащей ходатайство об отстранении указанного лица от исполнения возложенных на него обязанностей. Определением Арбитражного суда Московской области от 18.02.2020, оставленным без изменения постановлением Десятого арбитражного апелляционного суда от 19.08.2020, в удовлетворении жалобы отказано. Постановлением Арбитражного суда Московского округа от 24.11.2020 вышеуказанные судебные акты отменены в части требований о признании незаконными действий (бездействия) финансового управляющего по необращению в Истринский городской суд Московской области с заявлением о снятии обеспечительных мер и в Истринский отдел Росреестра по Московской области с заявлением о государственной регистрации перехода права собственности, об отстранении финансового управляющего; в отменённой части обособленный спор направлен на новое рассмотрение в Арбитражный суд Московской области. В остальной части определение суда первой инстанции от 18.02.2020 и постановление апелляционного суда от 19.08.2020 оставлено без изменения. В кассационной жалобе, поданной в Верховный Суд Российской Федерации, заявитель просит отменить указанные судебные акты в 2 неотменённой окружным судом части, направить дело на новое рассмотрение в ином составе судей.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руководствовались статьями 20.3, 60, 213.9 Федерального закона от 26.10.2002 № 127-ФЗ «О несостоятельности (банкротстве)» и исходили из отсутствия доказательств незаконного, недобросовестного и неразумного поведения финансового управляющего, влекущего нарушение прав и законных интересов заявителя, должника и его кредиторов. Оценивая доводы заявителя об указываемых им подозрительных сделках должника, суды основывались на том, что они не являлись причиной появления у должника признаков неплатёжеспособности, возникшей в связи с привлечением последнего к субсидиарной ответственности по обязательствам контролируемого юридического лица в размере, существенно превышающем размер указанных сделок. Выводы судов в обжалуемой заявителем части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Приводимые в кассационной жалобе доводы заявителя являлись предметом изучения судов,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Серопяну Мукучу Гамлетовичу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