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вышеуказанные судебные акты, одновременно заявив ходатайство об отсрочке уплаты государственной пошлины. В соответствии со статьей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333.22 Налогового кодекса Российской Федерации Верховный Суд Российской Федерации,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2 либо уменьшить ее размер, а также отсрочить (рассрочить) ее уплату в порядке, предусмотренном статьей 333.41 настоящего Кодекса. Поскольку обществом в обоснование ходатайства представлены документы, свидетельствующие об отсутствии возможности уплатить государственную пошлину по кассационной жалобе, ходатайство признается обоснованным и подлежит удовлетворению. Принимая во внимание изложенное, руководствуясь статьями 184 и 185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«Вертикаль» об отсрочке уплаты государственной пошлины за рассмотрение кассационной жалобы удовлетворить. Предоставить обществу с ограниченной ответственностью «Вертикаль» отсрочку уплаты государственной пошлины до окончания производства по кассационной жалобе на решение Арбитражного суда Кемеровской области от 15.06.2020, постановление Седьмого арбитражного апелляционного суда от 10.09.2020 и постановление Арбитражного суда Западно-Сибирского округа от 18.02.2021 по делу № А27-14867/2019.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