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– банк) обратилось в суд с заявлением о признании должника несостоятельным (банкротом). Определением Арбитражного суда Ростовской области от 20.08.2020, оставленным без изменения постановлениями Пятнадцатого арбитражного апелляционного суда от 19.10.2020 и Арбитражного суда Северо-Кавказского округа от 15.12.2020, требования банка признаны обоснованными, в отношении должника введена процедура наблюдения, утверждён временный управляющий. В кассационной жалобе, поданной в Верховный Суд Российской Федерации, заявитель просит отменить указанные судебные акты полностью либо в части,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обоснованными требования банка и вводя процедуру наблюдения, суды, руководствуясь статьями 368, 370, 376 Гражданского кодекса Российской Федерации, статьями 3, 7, 33 Федерального закона от 26.10.2002 № 127-ФЗ «О несостоятельности (банкротстве)», установили, что они подтверждены документально, составляют более 300 000 рублей и не исполнены в течение трёх месяцев. Суды также указали на недоказанность заявителем факта недобросовестности банка как гаранта, выплатившего за должника по банковской гарантии соответствующую сумму в пользу бенефициара.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 Архстрой»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