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08.07.2020, принятым в упрощенном порядке и оставленным без изменения постановлением Тринадцатого арбитражного апелляционного суда от 14.09.2020, иск удовлетворен. Арбитражный суд Северо-Западного округа постановлением от 24.12.2020, отменив решение от 08.07.2020 и постановление Тринадцатого арбитражного апелляционного суда от 14.09.2020, отказал в удовлетворении иска вследствие истечения срока исковой давности. В кассационной жалобе акционерное общество «Евро СПб-транспортные системы» просит об отмене постановления окружного суда, ссылаясь на неправомерное исчисление срока исковой давности не с момента реальной уплаты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Требуемое истцом определение начала течения срока исковой давности с момента уплаты штрафа противоречит пункту 5.7 договора от 01.05.2014 № 30711 о возмещении убытков в связи с предстоящей уплатой штрафов и т.д. и пункту 1 статьи 200 Гражданского кодекса Российской Федерации о начале течения срока исковой давности с момента должной осведомленности о нарушении права.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«Евро СПб-транспортные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