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23.07.2020, оставленным без изменения постановлением Девятого арбитражного апелляционного суда от 09.10.2020, иск удовлетворен. Арбитражный суд Московского округа постановлением от 18.12.2020 решение от 23.07.2020 и постановление Девятого арбитражного апелляционного суда от 09.10.2020 оставил без изменения. В кассационной жалобе общество «КОНВЕЛС Автоматизация» просит об отмене судебных актов, ссылаясь на несоответствие выводов судов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содержание обязательств сторон по договору поставки от20.06.2018 № КА.КZ.05.18/4600583788 и проверили на соответствие им предложенное ответчиком исполнение. Установив неисполнение поставщиком (ответчиком) обязательства по поставке товара и применив к установленным обстоятельствам статьи 506, 516, 523 Гражданского кодекса Российской Федерации, суды признали возражения ответчика неосновательными. Требуемое в жалобе изменение оценки обстоятельств дела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«КОНВЕЛС Автоматизация»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