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25.06.2020, оставленным без изменения постановлением Девятого арбитражного апелляционного суда от 27.08.2020, в удовлетворении иска отказано. Арбитражный суд Московского округа постановлением от 16.12.2020 решение от 25.06.2020 и постановление Девятого арбитражного апелляционного суда от 27.08.2020 оставил без изменения. В кассационной жалобе общество «Группа Энергосервис» просит об отмене судебных актов, ссылаясь на надлежащее исполнение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содержание обязательств сторон по договору поставки от 01.11.2018 № 7759/180747 и проверили на соответствие им предложенное истцом исполнение. Установив неисполнение поставщиком (истцом) обязательства по поставке товара на согласованных условиях и применив к установленным обстоятельствам статьи 431, 469, 474, 506, 516, 520 Гражданского кодекса Российской Федерации, суды признали требования истца не подлежащими удовлетворению. Требуемое в жалобе изменение оценки обстоятельств дела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