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30.07.2020, оставленным без изменения постановлением Девятого арбитражного апелляционного суда от 12.10.2020 и постановлением Арбитражного суда Московского округа от 28.01.2021, в удовлетворении иска отказано. В кассационной жалобе общество «Резонанс» просит об отмене судебных актов, ссылаясь на незаконность удержанной комиссии в качестве формы контроля за операциями клиента и отсутствие ее экономического обоснования.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Спорная комиссия охватывается пределами договора на расчетно- кассовое обслуживание и являющимися его частью тарифами банка. Применение комиссии в качестве последствия непредставления обществом потребованного банком в соответствии с нормами Федерального закона от 07.08.2001 № 115-ФЗ «О противодействии легализации (отмыванию) доходов, полученных преступным путем, и финансированию терроризма» и внутренними нормативными актами обоснования совершаемых по счету операций установлено судами и признано соответствующим договору и пункту 3 статьи 859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«Резонанс»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