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19.03.2020, оставленным без изменения постановлением Девятого арбитражного апелляционного суда от 23.09.2020, в удовлетворении иска отказано. Арбитражный суд Московского округа постановлением от 24.12.2020 решение от 19.03.2020 и постановление Девятого арбитражного апелляционного суда от 23.09.2020 оставил без изменения. В кассационной жалобе общество «Амеро» просит об отмене судебных актов, ссылаясь на неправильную оценку спорной суммы как полученной на основании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Требуемое в жалобе изменение оценки основания получения спорной суммы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«Амеро»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