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25.05.2020, оставленным без изменения постановлением Шестого арбитражного апелляционного суда от 14.08.2020, иск удовлетворен. Арбитражный суд Дальневосточного округа постановлением от 22.12.2020 решение от 25.05.2020 и постановление Шестого арбитражного апелляционного суда от 14.08.2020 оставил без изменения. В кассационной жалобе компания просит об отмене судебных актов, ссылаясь на нарушение преюдиции.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Отсутствие основания для вменения учреждению дефекта оказанной в рамках ОМС медицинской помощи признано во внесудебном порядке. Обязание судами восстановить права учреждения на оплату медицинской помощи за счет средств ОМС соответствует решению фонда и не противоречит ранее примененной вследствие выявления дефекта ответственности.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«СОГАЗ-Мед»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