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10.08.2020, оставленным без изменения постановлением Десятого арбитражного апелляционного суда от 30.10.2020 и постановлением Арбитражного суда Московского округа от 26.01.2021, в удовлетворении первоначального иска отказано, встречный иск удовлетворен. В кассационной жалобе завод просит об отмене судебных актов, ссылаясь на игнорирование судами признания обществом части долга.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Признание долга не находится в противоречии с зачетом встречных требований, право общества на который против требований завода признано реализованным, а обязательства прекратившимися в силу статьи 410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«Арзамасский приборостроительный завод имени П.И. Пландина»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