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Конституционные принципы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31.07.2020, оставленным без изменения постановлением Одиннадцатого арбитражного апелляционного суда от 02.11.2020 и постановлением Арбитражного суда Поволжского округа от 21.01.2021, взыскано 41 335 рублей неустойки. В кассационной жалобе общество «М-Строй» просит об отмене судебных актов, ссылаясь на нарушение апелляционным судом прав на участие в рассмотрении дела, отступление судов от принципа равенства ответственности сторон.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Установление обстоятельств, влияющих на размер неустойки в пределах данного дела, является компетенцией судов, рассматривающих дело в качестве суда первой инстанции, и связанные с этими обстоятельствами доводы не создают оснований для кассационного пересмотра судебных актов. Упомянутые в жалобе действия апелляционного суда, которые заявитель считает процессуальным нарушением, таковым не являются и не влияют на судьбу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«М-Строй»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