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05.07.2019 иск удовлетворен. Постановлением Первого арбитражного апелляционного суда от 09.12.2019 решение частично отменено. Определением Первого арбитражного апелляционного суда от 18.09.2020 исправлены допущенные в постановлении от 09.12.2019 в отношении взысканных сумм арифметические ошибки. Арбитражный суд Волго-Вятского округа постановлением от 28.12.2020 определение от 18.09.2020 оставил без изменения. В кассационной жалобе Диомидов А.Н. просит о пересмотре судебных актов об исправлении арифметических ошибок, ссылаясь на несоответствие указанных в них сумм подлежащим взысканию суммам требований.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Доводы, связанные с размером требований,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Диомидову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