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27.11.2019, оставленным без изменения постановлением Седьмого арбитражного апелляционного суда от 21.05.2020 и постановлением Арбитражного суда Западно-Сибирского округа от 15.12.2020, иск удовлетворен. В кассационной жалобе авиакомпания просит об отмене судебных актов вследствие отсутствия договорных отношений с учреждением и недоказанности представления учреждением услуг.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с применением статей 779, 781 Гражданского кодекса Российской Федерации, статей 64, 69 Воздушного кодекса Российской Федерации, положений Федеральных авиационных правил подготовки и выполнения полетов гражданской авиации Российской Федерации, утвержденных приказом Министерства транспорта Российской Федерации от 31.07.2009 № 128, Правил организации воздушного движения в Российской Федерации, утвержденных приказом Министерства транспорта Российской Федерации от 25.11.2011 № 293, Перечня и правил формирования тарифов и сборов за обслуживание воздушных судов в аэропортах и воздушном пространстве Российской Федерации, утвержденного Приказом Минтранса России от 17.07.2012 № 241, суды удовлетворили иск в соответствии с фактом пользования услугой учреждения. Иная оценка правоотношений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«Авиакомпания «Сибирь»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