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22.07.2020, оставленным без изменения постановлениями Девятого арбитражного апелляционного суда от 14.10.2020 и Арбитражного суда Московского округа от 11.02.2021, в удовлетворении заявленных требований отказано. В кассационной жалобе учреждение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единой комиссии министерства, министерства (заказчик), учреждения (уполномоченный орган), оператора электронной площадки при проведении запроса предложений в электронной форме на право заключения контракта на выполнение работ по строительству объекта ФАС России принято решение. Антимонопольным органом жалоба общества признана обоснованной, в действиях заказчика, уполномоченного органа выявлено нарушение пункта 7 части 6 статьи 83.1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действиях единой комиссии выявлено нарушение части 19 статьи 83.1 Закона о контрактной системе. Выдано предписание об устранении нарушений законодательства о контрактной системе. Не согласившись с ненормативными актами антимонопольного органа, учреждение обратилось в арбитражный суд. Исследовав и оценив представленные в материалы дела доказательства, руководствуясь положениями статей 15, 32, 83.1, 99, 105, 106 Закона о контрактной системе, Правилами оценки заявок, окончательных предложений участников закупки товаров, работ, услуг для обеспечения государственных и муниципальных нужд, утвержденными постановлением Правительства Российской Федерации от 28.11.2013 № 1085, Административным регламентом Федеральной антимонопольной службы по исполнению государственной функции по рассмотрению жалоб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при определении поставщиков (подрядчиков, исполнителей) для обеспечения государственных и муниципальных нужд, утвержденным приказом ФАС России от 19.11.2014 № 727/14, суды пришли к выводу о том, что оспариваемые ненормативные правовые акты соответствуют действующему законодательству и не нарушают права и интересы заявителя. Судебные инстанции исходили из того, что действия заказчика и уполномоченного органа, ненадлежащим образом установивших порядок оценки заявок, нарушают пункт 7 части 6 статьи 83.1 Закона о контрактной системе. Кроме того, суды пришли к выводу о том, что акты о приемке выполненных работ, предоставленные обществом в составе заявки, подтверждают выполнение работ по строительству, реконструкции, капитальному ремонту, сносу объекта капитального строительства (за исключением линейного объекта) на сумму не менее 100 процентов начальной (максимальной) цены контракта спорного запроса предложений в соответствии с требованиями, предусмотренными критериями оценки заявок. Обжалуя судебные акты в Верховный Суд Российской Федерации, учреждение приводит доводы, которые являлись предметом рассмотрения судов и получили надлежащую правовую оценку. С учетом изложенного, приведенные в жалобе доводы, не свидетельствуют о существенных нарушениях судами норм материального и процессуального права, повлиявших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в связи с чем не могут служить основанием для пересмотра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автономному образовательному учреждению высшего образования «Крымский Федеральный университет имени В.И. Вернадского»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ФЕДЕРАЛЬНОЕ ГОСУДАРСТВЕННОЕ АВТОНОМНОЕ ОБРАЗОВАТЕЛЬНОЕ УЧРЕЖДЕНИЕ ВЫСШЕГО ОБРАЗОВАНИЯ "КРЫМСКИЙ ФЕДЕРАЛЬНЫЙ УНИВЕРСИТЕТ ИМЕНИ В.И. ВЕРНАДСКОГО" (подробнее) Ответчики: Федеральная антимонопольная служба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