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28.02.2020, оставленным без изменения постановлением Седьмого арбитражного апелляционного суда от 06.08.2020 и постановлением Арбитражного суда Западно-Сибирского округа от 22.12.2020, иск удовлетворен. В кассационной жалобе общество «Прада» просит о пересмотре судебных актов как основанных на ненадлежащих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Факт поставки ответчиком в рамках договора от 29.09.2015 № 340/09/2015 поддельного (контрафактного) товара и связанное с ним право истца на применение заявленных последствий установлены судами, в связи с чем иск удовлетворен в соответствии со статьями 15, 469, 476, 506, 518 Гражданского кодекса Российской Федерации.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