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Центрального округа от 25.11.2020, оставленным без изменения определением того же суда от 21.12.2020, кассационная жалоба истца возвращена как поданная за пределами срока на обжалование, в восстановлении которого отказано. В кассационной жалобе компания просит отменить судебные акты окружного суда, ссылаясь на влекущую восстановление срока 2-дневную просрочку в официальном опубликовании постановления апелляционной инстанции, в связи с которой допущено нарушение срока подачи кассационной жалобы.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Единой энергетической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