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08.04.2021 с ходатайством о восстановлении срока. Пропуск на подачу жалобы общество считает пропущенным в связи с возвращением Судом первоначально поданной кассационной жалобы из-за отсутствия документа, подтверждающего уплату государственной пошлины. К данной жалобе приложено платежное поручение от 30.03.2021 № 623, подтверждающее уплату государственной пошлины по истечении срока на кассационное обжалование.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Соблюдение установленных требований к подаче кассационной жалобы возложено на подателя, и такие требования своевременно не исполнены обществом без объективных причин. В такой ситуации оснований для восстановления срока не имеется. 2 В связи с подачей документов в электронном виде кассационная жалоба и государственная пошлина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«Пореченский карьер»в восстановлении срока подачи кассационной жалобы на постановление Арбитражного суда Центрального округа от 29.01.2021 по делу № А36-11792/2019 Арбитражного суда Липецкой области. Кассационную жалобу акционерного общества «Пореченский карьер»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