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21.07.2020, оставленным без изменения постановлением Первого арбитражного апелляционного суда от 30.09.2020, иск удовлетворен. Арбитражный суд Волго-Вятского округа постановлением от 22.12.2020 решение от 21.07.2020 и постановление Первого арбитражного апелляционного суда от 30.09.2020 оставил без изменения. В кассационной жалобе общество «АльфаСтрахование» просит об отмене судебных актов, ссылаясь на невозникновение обязательства по выплате страхового возмещения в денежной форме.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выплата страхового возмещения в денежном выражении предусмотрена договором от 28.09.2018 № 03457/933/01218/18 (пункт 1.3) и условие для реализации права на получение выплаты в такой форме наступило. Таким образом, судебные акты о взыскании суммы страхового возмещения соответствуют условиям договор страхования, обстоятельствам его исполнения сторонами и статьям 421, 929, 942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