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23.07.2020, оставленным без изменения постановлениями Третьего арбитражного апелляционного суда от 01.10.2020 и Арбитражного суда Восточно-Сибирского округа от 22.12.2020, в удовлетворении иска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обоснование исковых требований общество (подрядчик) ссылается на неисполнение со стороны министерства (заказчик) обязательств по оплате фактически выполненных работ по контракту от 06.09.2016 № Ф.2016.240040 на выполнение работ по расчистке русел рек. Оценив представленные в материалы дела доказательства, суды, руководствуясь положениями статей 401, 405, 406, 407, 702, 708, 711, 716, 719, 720, 753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установив факт невыполнения спорных объемов работ подрядчиком, пришли к выводу об отсутствии оснований для удовлетворения иска.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общества с выводами судов, иная оценка им фактических обстоятельств дела,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«Бодарал»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