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31.03.2021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2 части 5 статьи 291.3 АПК РФ – отсутствием документов, подтверждающих уплату государственной пошлины в установленных порядке и размере.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09.04.2021,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А40-28941/2020 является постановление Арбитражного суда Московского округа от 03.02.2021, вступившее в законную силу, согласно части 5 статьи 289 АПК РФ, со дня его принятия – 03.02.2021, следовательно, двухмесячный срок на подачу кассационной жалобы истек 05.04.2021 (с учетом выходных дней).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первоначальная подача жалобы в срок и уплата государственной пошлины. Между тем, указанные обстоятельства не являются уважительными причинами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08.04.2021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«Каменск-Уральский металлургический завод»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11.06.2020 по делу № А40-28941/2020, постановление Девятого арбитражного апелляционного суда от 30.09.2020 и постановление Арбитражного суда Московского округа от 03.02.2021 по тому же делу. Жалобу открытого акционерного общества «Каменск-Уральский металлургический завод»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