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Бурятия от 07.09.2020, оставленным без изменения постановлением Четвертого арбитражного апелляционного суда от 02.11.2020, в удовлетворении требования отказано. 2 Постановлением Арбитражного суда Восточно-Сибирского округа от 22.01.2021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административного органа о нарушении обществом требований технического регламента при выполнении работ по текущему ремонту и содержанию участка автомобильной дороги общего пользования. Частью 1 статьи 14.43 Кодекса Российской Федерации об административных правонарушениях установлена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14.44, 14.46, 14.46.1, 20.4 настоящего Кодекса. Оценив представленные доказательства, руководствуясь положениями Технического регламента Таможенного союза ТР ТС 014/2011 «Безопасность автомобильных дорог», Федерального закона от 10.12.1995 № 196-ФЗ «О безопасности дорожного движения», суды пришли к выводу о наличии в действиях общества состава правонарушения, ответственность за совершение 3 которого предусмотрена частью 1 статьи 14.43 Кодекса Российской Федерации об административных правонарушениях, признав, что общество как подрядная организация, на которую на основании государственного контракта возложена обязанность по содержанию автомобильной дороги, является лицом, ответственным за содержание и контроль за ее состоянием. Судами установлено, что процедура и срок давности привлечения к административной ответственности соблюдены. При этом поводом к возбуждению дела об административном правонарушении послужило непосредственное обнаружение уполномоченным должностным лицом достаточных данных, указывающих на наличие признаков правонарушения. Штраф назначен в минимальном размере санкции нормы. Доводы жалобы были предметом исследования судов и получили исчерпывающую правовую оценку,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