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30.07.2020, оставленным без изменения постановлением Четвертого арбитражного апелляционного суда от 20.10.2020, в иске отказано. 2 Постановлением Арбитражного суда Восточно-Сибирского округа от 09.02.2021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401, 450, 715, 716, 763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иске, признав обоснованными действия заказчика по одностороннему отказу от исполнения контракта с учетом допущенных подрядчиком нарушений обязательств при исполнении контракта. Доводы жалобы о возникновении просрочки выполнения работ по вине заказчика были предметом исследования судов и получили исчерпывающую правовую оценку с учетом отсутствия доказательств невозможности надлежащего исполнения обязательств подрядчиком, не согласиться с которыми оснований не имеется.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