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16.06.2020, оставленным без изменения постановлением Восемнадцатого арбитражного апелляционного суда от 02.10.2020, иск удовлетворен. 2 Постановлением Арбитражного суда Уральского округа от 26.01.2021 указанные судебные акты отменены, дело направлено на новое рассмотрение в суд первой инстанции. Предприниматель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преждевременные выводов судов о том, что признание иска заказчиком не противоречит закону, не нарушает права других лиц, сделанные без надлежащей проверки существа возникших правоотношений и характера оказанных работ (услуг).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3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